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center"/>
        <w:rPr>
          <w:rFonts w:hint="eastAsia" w:ascii="微软雅黑" w:hAnsi="微软雅黑" w:eastAsia="方正小标宋_GBK" w:cs="微软雅黑"/>
          <w:i w:val="0"/>
          <w:iCs w:val="0"/>
          <w:caps w:val="0"/>
          <w:color w:val="333333"/>
          <w:spacing w:val="0"/>
          <w:sz w:val="32"/>
          <w:szCs w:val="32"/>
          <w:lang w:val="en-US" w:eastAsia="zh-CN"/>
        </w:rPr>
      </w:pPr>
      <w:r>
        <w:rPr>
          <w:rFonts w:hint="eastAsia" w:ascii="方正小标宋_GBK" w:hAnsi="方正小标宋_GBK" w:eastAsia="方正小标宋_GBK" w:cs="方正小标宋_GBK"/>
          <w:i w:val="0"/>
          <w:iCs w:val="0"/>
          <w:caps w:val="0"/>
          <w:color w:val="333333"/>
          <w:spacing w:val="0"/>
          <w:sz w:val="32"/>
          <w:szCs w:val="32"/>
          <w:bdr w:val="none" w:color="auto" w:sz="0" w:space="0"/>
          <w:shd w:val="clear" w:fill="FFFFFF"/>
          <w:lang w:val="en-US" w:eastAsia="zh-CN"/>
        </w:rPr>
        <w:t>玉溪农业职业技术学院</w:t>
      </w:r>
      <w:r>
        <w:rPr>
          <w:rFonts w:ascii="方正小标宋_GBK" w:hAnsi="方正小标宋_GBK" w:eastAsia="方正小标宋_GBK" w:cs="方正小标宋_GBK"/>
          <w:i w:val="0"/>
          <w:iCs w:val="0"/>
          <w:caps w:val="0"/>
          <w:color w:val="333333"/>
          <w:spacing w:val="0"/>
          <w:sz w:val="32"/>
          <w:szCs w:val="32"/>
          <w:bdr w:val="none" w:color="auto" w:sz="0" w:space="0"/>
          <w:shd w:val="clear" w:fill="FFFFFF"/>
        </w:rPr>
        <w:t>2020年度部门决算</w:t>
      </w:r>
      <w:r>
        <w:rPr>
          <w:rFonts w:hint="eastAsia" w:ascii="方正小标宋_GBK" w:hAnsi="方正小标宋_GBK" w:eastAsia="方正小标宋_GBK" w:cs="方正小标宋_GBK"/>
          <w:i w:val="0"/>
          <w:iCs w:val="0"/>
          <w:caps w:val="0"/>
          <w:color w:val="333333"/>
          <w:spacing w:val="0"/>
          <w:sz w:val="32"/>
          <w:szCs w:val="32"/>
          <w:bdr w:val="none" w:color="auto" w:sz="0" w:space="0"/>
          <w:shd w:val="clear" w:fill="FFFFFF"/>
          <w:lang w:val="en-US" w:eastAsia="zh-CN"/>
        </w:rPr>
        <w:t>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center"/>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Times New Roman" w:hAnsi="Times New Roman" w:eastAsia="微软雅黑" w:cs="Times New Roman"/>
          <w:i w:val="0"/>
          <w:iCs w:val="0"/>
          <w:caps w:val="0"/>
          <w:color w:val="333333"/>
          <w:spacing w:val="0"/>
          <w:sz w:val="32"/>
          <w:szCs w:val="32"/>
          <w:bdr w:val="none" w:color="auto" w:sz="0" w:space="0"/>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center"/>
        <w:rPr>
          <w:rFonts w:hint="default" w:ascii="微软雅黑" w:hAnsi="微软雅黑" w:eastAsia="微软雅黑" w:cs="微软雅黑"/>
          <w:i w:val="0"/>
          <w:iCs w:val="0"/>
          <w:caps w:val="0"/>
          <w:color w:val="333333"/>
          <w:spacing w:val="0"/>
          <w:sz w:val="32"/>
          <w:szCs w:val="32"/>
          <w:lang w:val="en-US" w:eastAsia="zh-CN"/>
        </w:rPr>
      </w:pPr>
      <w:r>
        <w:rPr>
          <w:rFonts w:hint="default" w:ascii="方正小标宋_GBK" w:hAnsi="方正小标宋_GBK" w:eastAsia="方正小标宋_GBK" w:cs="方正小标宋_GBK"/>
          <w:i w:val="0"/>
          <w:iCs w:val="0"/>
          <w:caps w:val="0"/>
          <w:color w:val="333333"/>
          <w:spacing w:val="0"/>
          <w:sz w:val="32"/>
          <w:szCs w:val="32"/>
          <w:shd w:val="clear" w:fill="FFFFFF"/>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ascii="方正黑体_GBK" w:hAnsi="方正黑体_GBK" w:eastAsia="方正黑体_GBK" w:cs="方正黑体_GBK"/>
          <w:i w:val="0"/>
          <w:iCs w:val="0"/>
          <w:caps w:val="0"/>
          <w:color w:val="333333"/>
          <w:spacing w:val="0"/>
          <w:sz w:val="32"/>
          <w:szCs w:val="32"/>
          <w:bdr w:val="none" w:color="auto" w:sz="0" w:space="0"/>
          <w:shd w:val="clear" w:fill="FFFFFF"/>
        </w:rPr>
        <w:t>第一部分  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ascii="方正楷体_GBK" w:hAnsi="方正楷体_GBK" w:eastAsia="方正楷体_GBK" w:cs="方正楷体_GBK"/>
          <w:i w:val="0"/>
          <w:iCs w:val="0"/>
          <w:caps w:val="0"/>
          <w:color w:val="333333"/>
          <w:spacing w:val="0"/>
          <w:sz w:val="32"/>
          <w:szCs w:val="32"/>
          <w:bdr w:val="none" w:color="auto" w:sz="0" w:space="0"/>
          <w:shd w:val="clear" w:fill="FFFFFF"/>
        </w:rPr>
        <w:t>一、主要职能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二、部门基本情况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第二部分  2020年度部门决算表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一、收入支出决算总表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二、收入决算表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三、支出决算表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四、财政拨款收入支出决算总表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五、一般公共预算财政拨款收入支出决算表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六、一般公共预算财政拨款基本支出决算表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七、政府性基金预算财政拨款收入支出决算表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八、国有资本经营预算财政拨款收入支出决算表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九、“三公”经费、行政参公单位机关运行经费情况表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第三部分  2020年度部门决算情况说明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一、收入决算情况说明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二、支出决算情况说明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三、一般公共预算财政拨款支出决算情况说明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四、一般公共预算财政拨款“三公”经费支出决算情况说明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第四部分  其他重要事项及相关口径情况说明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lang w:val="en-US" w:eastAsia="zh-CN"/>
        </w:rPr>
        <w:t>一</w:t>
      </w: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、国有资产占用情况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lang w:val="en-US" w:eastAsia="zh-CN"/>
        </w:rPr>
        <w:t>二</w:t>
      </w: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、政府采购支出情况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四、部门绩效自评情况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ascii="方正仿宋_GBK" w:hAnsi="方正仿宋_GBK" w:eastAsia="方正仿宋_GBK" w:cs="方正仿宋_GBK"/>
          <w:i w:val="0"/>
          <w:iCs w:val="0"/>
          <w:caps w:val="0"/>
          <w:color w:val="333333"/>
          <w:spacing w:val="0"/>
          <w:sz w:val="32"/>
          <w:szCs w:val="32"/>
          <w:bdr w:val="none" w:color="auto" w:sz="0" w:space="0"/>
          <w:shd w:val="clear" w:fill="FFFFFF"/>
        </w:rPr>
      </w:pPr>
      <w:r>
        <w:rPr>
          <w:rFonts w:ascii="方正仿宋_GBK" w:hAnsi="方正仿宋_GBK" w:eastAsia="方正仿宋_GBK" w:cs="方正仿宋_GBK"/>
          <w:i w:val="0"/>
          <w:iCs w:val="0"/>
          <w:caps w:val="0"/>
          <w:color w:val="333333"/>
          <w:spacing w:val="0"/>
          <w:sz w:val="32"/>
          <w:szCs w:val="32"/>
          <w:bdr w:val="none" w:color="auto" w:sz="0" w:space="0"/>
          <w:shd w:val="clear" w:fill="FFFFFF"/>
        </w:rPr>
        <w:t>（一）部门</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项目</w:t>
      </w:r>
      <w:r>
        <w:rPr>
          <w:rFonts w:ascii="方正仿宋_GBK" w:hAnsi="方正仿宋_GBK" w:eastAsia="方正仿宋_GBK" w:cs="方正仿宋_GBK"/>
          <w:i w:val="0"/>
          <w:iCs w:val="0"/>
          <w:caps w:val="0"/>
          <w:color w:val="333333"/>
          <w:spacing w:val="0"/>
          <w:sz w:val="32"/>
          <w:szCs w:val="32"/>
          <w:bdr w:val="none" w:color="auto" w:sz="0" w:space="0"/>
          <w:shd w:val="clear" w:fill="FFFFFF"/>
        </w:rPr>
        <w:t>绩效自评情况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default"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pPr>
      <w:r>
        <w:rPr>
          <w:rFonts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二</w:t>
      </w:r>
      <w:r>
        <w:rPr>
          <w:rFonts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部门绩效评价附表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五、其他重要事项情况说明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六、相关口径说明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第五部分  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第一部分  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一、主要职能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（一）主要职能</w:t>
      </w:r>
    </w:p>
    <w:p>
      <w:pPr>
        <w:snapToGrid w:val="0"/>
        <w:spacing w:line="520" w:lineRule="exact"/>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玉溪农业职业技术学院于2002年3月经云南省人民政府批准成立，其前身为玉溪农业学校，始建于1956年6月，位于玉溪市红塔区研和街道办事处向家庄41号，学院占地415.5亩。学院主要培养高等专科学历农业人才和中专学历烟草产业人才，促进农业和烟草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二、部门基本情况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（一）部门决算单位构成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纳入</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eastAsia="zh-CN"/>
        </w:rPr>
        <w:t>玉溪农业职业技术学院</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2020年度部门决算编报的单位共1个。其中：行政单位</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个，参照公务员法管理的事业单位0个，事业单位</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1</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个。即：</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玉溪农业职业技术学院</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（二）部门人员和车辆的编制及实有情况</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编委核定编制人数为270人，2020年末在职职工261人（其中：正处级管理人员：2人，具有正高职称教师7人，副高职称教师73人,中级职称的教师96人，初职级职称50人，初职级职称以下15人，工勤人员18人），比上年增加4人（变动原因为：2020年退休1人，辞职1人，新招聘6人）。退休职工63人，比上年增加1人（变动原因为：2020年退休2人，死亡1人）。在校学生人数10099人（其中：大专生7892人，五年制大专2207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实有车辆编制</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辆，在编实有车辆</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第二部分  2020年度部门决算表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第三部分  2020年度部门决算情况说明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一、收入决算情况说明</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年部门决算收入为15331.13万元，比上年增加2348.92万元，其中：财政补助收入增加1627.7万元（主要为增资人员经费增加，因学生人数增加，高职生均奖补资金项目拨款增加950.79万元）。事业收入增加510万元，主要为学生人数增加，学费、住宿费收入增加，其他收入增加211.21万元（主要为今年高职学生扩招，云南省教育厅拨入的奖助学金随之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二、支出决算情况说明</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2020年支出总额为11938.61万元，其中：基本支出5972.43万元，占支出总额的50.03%，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项目支出5966.18万元，占支出总额的49.97%。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支出比去年10295.62万元增加1589.69万元，也是由于学生人数增加，学校办学规模扩大，导致公用经费及人员经费随之增加。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（一）基本支出情况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default" w:ascii="方正仿宋_GBK" w:hAnsi="方正仿宋_GBK" w:eastAsia="方正仿宋_GBK" w:cs="方正仿宋_GBK"/>
          <w:i w:val="0"/>
          <w:iCs w:val="0"/>
          <w:caps w:val="0"/>
          <w:color w:val="333333"/>
          <w:spacing w:val="0"/>
          <w:sz w:val="32"/>
          <w:szCs w:val="32"/>
          <w:bdr w:val="none" w:color="auto" w:sz="0" w:space="0"/>
          <w:shd w:val="clear" w:fill="FFFFFF"/>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2020年度用于保障</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eastAsia="zh-CN"/>
        </w:rPr>
        <w:t>玉溪农业职业技术学院</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正常运转的日</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基本支出5972.43万元，占支出总额的50.03%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。与上年</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5684.91万元</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对比增加</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287.52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，增加主要原因是在职人数增加及人员工资水平提高。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（二）项目支出情况</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2020年项目支出总额5966.18万元，占支出总额的49.97%。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具体项目开支及开展工作情况如下：</w:t>
      </w:r>
    </w:p>
    <w:p>
      <w:pPr>
        <w:ind w:firstLine="640" w:firstLineChars="200"/>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（1）玉溪农职院中等职业教育免学费专项资金</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年中等职业教育免学费年初预算7.09万元，实际预算执行7.09万元，预算执行率为100%，通过该资金的使用促进了我校办学规模的进一步扩大，改善了我校的办学条件，提升了我校的办学水平，2020年我校学生就业率达到了97%，在校生规模突破了10000人。</w:t>
      </w:r>
    </w:p>
    <w:p>
      <w:pPr>
        <w:ind w:firstLine="640" w:firstLineChars="200"/>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（2）中等职业教育国家助学金专项资金</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年中等职业教育国家助学金专项资金年初预算数为2.85万元，实际预算执行2.85万元，预算执行率为100%，通过该资金的使用，148人中职学生享受了助学金，资助率达到100%，贫困学生覆盖率达到100%，减轻了贫困家庭学生的家庭负担，促进了贫困学生顺利完成学业。</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(3)数字化校园还款市本级补助资金</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年数字化校园还款市本级补助资金年初预算数为33.45万元，实际预算执行33.45万元，预算执行率为100%,通过该资金的使用提升了我校信息化教学硬件水平，在很大程度上改善了我校的办学条件，促进了学生综合能力的提升，使我校2020年高职学生就业率达到了97%。</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（4）现代职业教育质量中央提升专项资金</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年现代职业教育质量中央提升专项资金年初预算数为1108.65万元，实际预算执行1058.65万元，剩余50万元结转到2021年继续使用，预算执行率为95.49%，通过该资金的使用，扩大了我校的办学规模，2020年办学规模突破10000人，提升了我校的办学水平，2020年我校专升本升学率达到了75%，高职学生技能大赛获奖率在云南高职院校中名列前茅。</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（5）2020高职生均拨款奖补专项资金</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2020高职生均拨款奖补专项资金年初预算数为406万元，实际预算执行406万元，预算执行率为100%,通过该资金的使用，扩大了我校的办学规模，2020年办学规模突破10000人，提升了我校的办学水平，2020年我校专升本升学率达到了75%，高职学生技能大赛获奖率在云南高职院校中名列前茅。</w:t>
      </w:r>
    </w:p>
    <w:p>
      <w:pPr>
        <w:ind w:firstLine="640" w:firstLineChars="200"/>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（6）</w:t>
      </w:r>
      <w:r>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t>2020年三区人才科技计划中央第二批专项资金</w:t>
      </w:r>
    </w:p>
    <w:p>
      <w:pPr>
        <w:ind w:firstLine="640" w:firstLineChars="200"/>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t>2020年三区人才科技计划中央第二批专项资金</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年初预算数为4万元，实际预算执行4万元，预算执行率为100%,通过该资金的使用，培养了边远贫困地区培养本土科技人才8人，带动了当地贫困农民增收，通过我校老师的帮扶、指导，促进了当地企业的生产成本减低，对打赢脱贫攻坚战和实施乡村振兴战略起到了促进作用。</w:t>
      </w:r>
    </w:p>
    <w:p>
      <w:pPr>
        <w:ind w:firstLine="640" w:firstLineChars="200"/>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（7）</w:t>
      </w:r>
      <w:r>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t>2020年省级科普专项转移支付专项资金</w:t>
      </w:r>
    </w:p>
    <w:p>
      <w:pPr>
        <w:ind w:firstLine="640" w:firstLineChars="200"/>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t>2020年省级科普专项转移支付专项资金</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年初预算数为10万元，实际预算执行10万元，预算执行率为100%,通过该资金的使用，完成：1、组织农技下乡5次以上，2、建立食用菌种植基地1个以上，3、中小学科技科普体验活动200人次，4、食用菌技术培训150人次 ，5、食用菌栽培技术规程1套，6、培训手册系列1套。在一定程度上帮助了农民增收，让中小学生增长了科学知识，拓宽了科学视野。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三、一般公共预算财政拨款支出决算情况说明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（一）一般公共预算财政拨款支出决算总体情况</w:t>
      </w:r>
    </w:p>
    <w:p>
      <w:pPr>
        <w:snapToGrid w:val="0"/>
        <w:spacing w:line="520" w:lineRule="exact"/>
        <w:ind w:firstLine="640" w:firstLineChars="200"/>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eastAsia="zh-CN"/>
        </w:rPr>
        <w:t>玉溪农业职业技术学院</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2020年度一般公共预算财政拨</w:t>
      </w:r>
      <w:r>
        <w:rPr>
          <w:rFonts w:hint="default" w:ascii="方正仿宋_GBK" w:hAnsi="方正仿宋_GBK" w:eastAsia="方正仿宋_GBK" w:cs="方正仿宋_GBK"/>
          <w:i w:val="0"/>
          <w:iCs w:val="0"/>
          <w:caps w:val="0"/>
          <w:color w:val="333333"/>
          <w:spacing w:val="0"/>
          <w:sz w:val="32"/>
          <w:szCs w:val="32"/>
          <w:shd w:val="clear" w:fill="FFFFFF"/>
          <w:lang w:eastAsia="zh-CN"/>
        </w:rPr>
        <w:t>款</w:t>
      </w:r>
      <w:r>
        <w:rPr>
          <w:rFonts w:hint="eastAsia" w:ascii="方正仿宋_GBK" w:hAnsi="方正仿宋_GBK" w:eastAsia="方正仿宋_GBK" w:cs="方正仿宋_GBK"/>
          <w:i w:val="0"/>
          <w:iCs w:val="0"/>
          <w:caps w:val="0"/>
          <w:color w:val="333333"/>
          <w:spacing w:val="0"/>
          <w:sz w:val="32"/>
          <w:szCs w:val="32"/>
          <w:shd w:val="clear" w:fill="FFFFFF"/>
          <w:lang w:eastAsia="zh-CN"/>
        </w:rPr>
        <w:t>总额</w:t>
      </w:r>
      <w:r>
        <w:rPr>
          <w:rFonts w:hint="eastAsia" w:ascii="方正仿宋_GBK" w:hAnsi="方正仿宋_GBK" w:eastAsia="方正仿宋_GBK" w:cs="方正仿宋_GBK"/>
          <w:i w:val="0"/>
          <w:iCs w:val="0"/>
          <w:caps w:val="0"/>
          <w:color w:val="333333"/>
          <w:spacing w:val="0"/>
          <w:sz w:val="32"/>
          <w:szCs w:val="32"/>
          <w:shd w:val="clear" w:fill="FFFFFF"/>
          <w:lang w:eastAsia="zh-CN"/>
        </w:rPr>
        <w:t>为8226.47万元，其中：基本支出5936.95万元，项目支出2289.52万元。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（二）一般公共预算财政拨款支出决算具体情况        </w:t>
      </w:r>
    </w:p>
    <w:p>
      <w:pPr>
        <w:snapToGrid w:val="0"/>
        <w:spacing w:line="520" w:lineRule="exact"/>
        <w:ind w:firstLine="640" w:firstLineChars="200"/>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1、工资福利支出4694.39万元，占总支出的57.06%。</w:t>
      </w:r>
    </w:p>
    <w:p>
      <w:pPr>
        <w:snapToGrid w:val="0"/>
        <w:spacing w:line="520" w:lineRule="exact"/>
        <w:ind w:firstLine="640" w:firstLineChars="200"/>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2、商品和服务支出1232.55万元，占总支出的14.26%。</w:t>
      </w:r>
    </w:p>
    <w:p>
      <w:pPr>
        <w:snapToGrid w:val="0"/>
        <w:spacing w:line="520" w:lineRule="exact"/>
        <w:ind w:firstLine="640" w:firstLineChars="200"/>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3、对个人和家庭的补助支出773.92万元，占总支出的9.41%。</w:t>
      </w:r>
    </w:p>
    <w:p>
      <w:pPr>
        <w:snapToGrid w:val="0"/>
        <w:spacing w:line="520" w:lineRule="exact"/>
        <w:ind w:firstLine="640" w:firstLineChars="200"/>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4、债务利息及费用支出3.86万元，占总支出的0.05%，为2020年偿还云南省社会事业发展有限公司资本金利息费用。</w:t>
      </w:r>
    </w:p>
    <w:p>
      <w:pPr>
        <w:snapToGrid w:val="0"/>
        <w:spacing w:line="520" w:lineRule="exact"/>
        <w:ind w:firstLine="640" w:firstLineChars="200"/>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5、其他资本性支出1581.75万元，占总支出的19.22%，其中房屋建筑物购建1190.44万元，办公设备购置20.06万元，专用设备购置287.9万元，信息网络及软件购置更新4.58万元，无形资产购置8.7万元，其他资本性支出10.1万元。</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ab/>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四、一般公共预算财政拨款“三公”经费支出决算情况说明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 一般公共预算财政拨款“三公”经费支出决算总体情况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eastAsia="zh-CN"/>
        </w:rPr>
        <w:t>玉溪农业职业技术学院</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2020年度一般公共预算财政拨款“三公”经费支出预算为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65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万元，支出决算为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24.55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万元，完成预算的</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38</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%。其中：因公出国（境）费支出决算为0万元，预算为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万元；公务用车购置及运行费支出决算为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23.39</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万元，完成预算的</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67</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%；公务接待费支出决算为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1.16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万元，完成预算的</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%。2020年度一般公共预算财政拨款“三公”经费支出决算数小于预算数的主要原因：</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主要是我单位严格执行国家关于厉行节约的政策要求，接待人次减少，公务用车运行维护费减少。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 一般公共预算财政拨款“三公”经费支出决算具体情况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2020年度一般公共预算财政拨款“三公”经费支出决算中，因公出国（境）费支出0万元；公务用车购置及运行维护费支出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23.39</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万元，占</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95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%；公务接待费支出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1.16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万元，占</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%。具体情况如下：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1.因公出国（境）费支出0万元，共安排因公出国（境）团组0个，累计0人次。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2.公务用车购置及运行维护费支出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23.39</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公务用车购置支出0万元，购置车辆0辆。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default" w:ascii="方正仿宋_GBK" w:hAnsi="方正仿宋_GBK" w:eastAsia="方正仿宋_GBK" w:cs="方正仿宋_GBK"/>
          <w:i w:val="0"/>
          <w:iCs w:val="0"/>
          <w:caps w:val="0"/>
          <w:color w:val="333333"/>
          <w:spacing w:val="0"/>
          <w:sz w:val="32"/>
          <w:szCs w:val="32"/>
          <w:bdr w:val="none" w:color="auto" w:sz="0" w:space="0"/>
          <w:shd w:val="clear" w:fill="FFFFFF"/>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公务用车运行维护支出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23.39</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万元，开支一般公共预算财政拨款的公务用车保有量为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3.公务接待费支出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1.16</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国（境）外接待费支出0万元，共安排国（境）外公务接待0批次，接待人次0人。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第四部分  其他重要事项及相关口径情况说明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lang w:val="en-US" w:eastAsia="zh-CN"/>
        </w:rPr>
        <w:t>一</w:t>
      </w: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、国有资产占用情况</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2020年末学院固定资产总额为43445.78万元，其中：房屋及构筑物38735.58万元，通用设备2334.22万元，专用设备608.49万元，文物和陈列品9.96万元，图书、档案389.9万元，家具、用具、装具及动植物1368.62万元。无形资产总额为5692.91万元，其中软件708.88万元，土地4984.03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lang w:val="en-US" w:eastAsia="zh-CN"/>
        </w:rPr>
        <w:t>二</w:t>
      </w: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、政府采购支出情况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方正仿宋_GBK" w:cs="微软雅黑"/>
          <w:i w:val="0"/>
          <w:iCs w:val="0"/>
          <w:caps w:val="0"/>
          <w:color w:val="333333"/>
          <w:spacing w:val="0"/>
          <w:sz w:val="32"/>
          <w:szCs w:val="32"/>
          <w:lang w:eastAsia="zh-CN"/>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2020年度，部门政府采购支出总额</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6210.67</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万元，其中：政府采购货物支出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3170.94</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万元；政府采购工程支出</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3039.72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万元；政府采购服务支出0万元。授予中小企业合同金额</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0</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万元</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lang w:val="en-US" w:eastAsia="zh-CN"/>
        </w:rPr>
        <w:t>三</w:t>
      </w: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、部门绩效自评情况</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1、预算绩效管理工作开展情况</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1）根据国家、省市及主管部门关于绩效评价的要求，我单位及时成立了项目自评领导小组：以单位负责人、院长董从华为主要职责的领导小组，具体职责分工情况：董从华院长主要负责项目绩效评价全局统筹；分管领导负责项目绩效评价的组织，纪委书记许建辉主要负责对项目绩效评价的监督，各部门负责人要负责项目绩效评价的实施。</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（2）建立了健全、有效的绩效评价制度，为绩效评价的顺利开展提供了制度保障。</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（3）根据我校的办学职能、办学定位设置了科学的指标评价体系。</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（4）</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领导小组成员按照</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提前设置的</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绩效评价</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指标体系开展了绩效自评。</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5）注重结果运用，根据评价结果对于绩效评价为优的项目继续支持，对于绩效评价为中和差的项目开展自查自纠，对存在的问题进行改进，并总结经验，2020年我单位的7个项目绩效评价结果为优，顺利通过了财政聘请第三方的绩效自评审计。</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2、部门决算中项目支出自评结果（详细情况见附表）</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（1）玉溪农职院中等职业教育免学费专项资金</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2020年中等职业教育免学费年初预算7.09万元，实际预算执行7.09万元，预算执行率为100%，通过该</w:t>
      </w:r>
      <w:bookmarkStart w:id="0" w:name="_GoBack"/>
      <w:bookmarkEnd w:id="0"/>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资金的使用促进了我校办学规模的进一步扩大，改善了我校的办学条件，提升了我校的办学水平，2020年我校学生就业率达到了97%，在校生规模突破了10000人。</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（2）中等职业教育国家助学金专项资金</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2020年中等职业教育国家助学金专项资金年初预算数为2.85万元，实际预算执行2.85万元，预算执行率为100%，通过该资金的使用，148人中职学生享受了助学金，资助率达到100%，贫困学生覆盖率达到100%，减轻了贫困家庭学生的家庭负担，促进了贫困学生顺利完成学业。</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(3)数字化校园还款市本级补助资金</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2020年数字化校园还款市本级补助资金年初预算数为33.45万元，实际预算执行33.45万元，预算执行率为100%,通过该资金的使用提升了我校信息化教学硬件水平，在很大程度上改善了我校的办学条件，促进了学生综合能力的提升，使我校2020年高职学生就业率达到了97%。</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（4）现代职业教育质量中央提升专项资金</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2020年现代职业教育质量中央提升专项资金年初预算数为1108.65万元，实际预算执行1058.65万元，剩余50万元结转到2021年继续使用，预算执行率为95.49%，通过该资金的使用，扩大了我校的办学规模，2020年办学规模突破10000人，提升了我校的办学水平，2020年我校专升本升学率达到了75%，高职学生技能大赛获奖率在云南高职院校中名列前茅。</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（5）2020高职生均拨款奖补专项资金</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2020高职生均拨款奖补专项资金年初预算数为406万元，实际预算执行406万元，预算执行率为100%,通过该资金的使用，扩大了我校的办学规模，2020年办学规模突破10000人，提升了我校的办学水平，2020年我校专升本升学率达到了75%，高职学生技能大赛获奖率在云南高职院校中名列前茅。</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（6）</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2020年三区人才科技计划中央第二批专项资金</w:t>
      </w:r>
    </w:p>
    <w:p>
      <w:pPr>
        <w:ind w:firstLine="640" w:firstLineChars="200"/>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2020年三区人才科技计划中央第二批专项资金</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年初预算数为4万元，实际预算执行4万元，预算执行率为100%,通过该资金的使用，培养了边远贫困地区培养本土科技人才8人，带动了当地贫困农民增收，通过我校老师的帮扶、指导，促进了当地企业的生产成本减低，对打赢脱贫攻坚战和实施乡村振兴战略起到了促进作用。</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（7）</w:t>
      </w: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2020年省级科普专项转移支付专项资金</w:t>
      </w:r>
    </w:p>
    <w:p>
      <w:pPr>
        <w:ind w:firstLine="640" w:firstLineChars="200"/>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2020年省级科普专项转移支付专项资金</w:t>
      </w:r>
      <w:r>
        <w:rPr>
          <w:rFonts w:hint="eastAsia" w:ascii="方正黑体_GBK" w:hAnsi="方正黑体_GBK" w:eastAsia="方正黑体_GBK" w:cs="方正黑体_GBK"/>
          <w:i w:val="0"/>
          <w:iCs w:val="0"/>
          <w:caps w:val="0"/>
          <w:color w:val="333333"/>
          <w:spacing w:val="0"/>
          <w:kern w:val="0"/>
          <w:sz w:val="32"/>
          <w:szCs w:val="32"/>
          <w:shd w:val="clear" w:fill="FFFFFF"/>
          <w:lang w:val="en-US" w:eastAsia="zh-CN" w:bidi="ar"/>
        </w:rPr>
        <w:t>年初预算数为10万元，实际预算执行10万元，预算执行率为100%,通过该资金的使用，完成：1、组织农技下乡5次以上，2、建立食用菌种植基地1个以上，3、中小学科技科普体验活动200人次，4、食用菌技术培训150人次 ，5、食用菌栽培技术规程1套，6、培训手册系列1套。在一定程度上帮助了农民增收，让中小学生增长了科学知识，拓宽了科学视野。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五、其他重要事项情况说明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2240" w:firstLineChars="70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bdr w:val="none" w:color="auto" w:sz="0" w:space="0"/>
          <w:shd w:val="clear" w:fill="FFFFFF"/>
        </w:rPr>
        <w:t>六、相关口径说明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（一）基本支出中人员经费包括工资福利支出和对个人和家庭的补助，公用经费包括商品和服务支出、资本性支出等人员经费以外的支出。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（二）机关运行经费指行政单位和参照公务员法管理的事业单位使用一般公共预算财政拨款安排的基本支出中的公用经费支出。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left"/>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default" w:ascii="方正黑体_GBK" w:hAnsi="方正黑体_GBK" w:eastAsia="方正黑体_GBK" w:cs="方正黑体_GBK"/>
          <w:i w:val="0"/>
          <w:iCs w:val="0"/>
          <w:caps w:val="0"/>
          <w:color w:val="333333"/>
          <w:spacing w:val="0"/>
          <w:sz w:val="32"/>
          <w:szCs w:val="32"/>
          <w:bdr w:val="none" w:color="auto" w:sz="0" w:space="0"/>
          <w:shd w:val="clear" w:fill="FFFFFF"/>
        </w:rPr>
        <w:t>第五部分  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420"/>
        <w:jc w:val="both"/>
        <w:rPr>
          <w:rFonts w:hint="eastAsia" w:ascii="微软雅黑" w:hAnsi="微软雅黑" w:eastAsia="微软雅黑" w:cs="微软雅黑"/>
          <w:i w:val="0"/>
          <w:iCs w:val="0"/>
          <w:caps w:val="0"/>
          <w:color w:val="333333"/>
          <w:spacing w:val="0"/>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部门决算公开情况说明中不涉及专用名词，故此项内容无。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937C1"/>
    <w:rsid w:val="01244BBA"/>
    <w:rsid w:val="01F0593F"/>
    <w:rsid w:val="042207A6"/>
    <w:rsid w:val="048647FB"/>
    <w:rsid w:val="055E7FA4"/>
    <w:rsid w:val="074E5043"/>
    <w:rsid w:val="08674306"/>
    <w:rsid w:val="08B97B9F"/>
    <w:rsid w:val="09613FEC"/>
    <w:rsid w:val="0A657624"/>
    <w:rsid w:val="0B5A7049"/>
    <w:rsid w:val="0DCB76AE"/>
    <w:rsid w:val="10AA7D4E"/>
    <w:rsid w:val="10C8678C"/>
    <w:rsid w:val="11507CD0"/>
    <w:rsid w:val="11E7661B"/>
    <w:rsid w:val="13E937C1"/>
    <w:rsid w:val="142B450A"/>
    <w:rsid w:val="144570B5"/>
    <w:rsid w:val="19864ACE"/>
    <w:rsid w:val="1A6A6415"/>
    <w:rsid w:val="1BAE3795"/>
    <w:rsid w:val="1D6D402B"/>
    <w:rsid w:val="200E34D5"/>
    <w:rsid w:val="215408AA"/>
    <w:rsid w:val="23A266E5"/>
    <w:rsid w:val="24F56947"/>
    <w:rsid w:val="2BBF56C3"/>
    <w:rsid w:val="2D2A0B7C"/>
    <w:rsid w:val="2DC31316"/>
    <w:rsid w:val="2F5B74D1"/>
    <w:rsid w:val="3166233E"/>
    <w:rsid w:val="327348EE"/>
    <w:rsid w:val="33E61958"/>
    <w:rsid w:val="356579BA"/>
    <w:rsid w:val="378A2E2C"/>
    <w:rsid w:val="37B17BB1"/>
    <w:rsid w:val="38761300"/>
    <w:rsid w:val="39030A9D"/>
    <w:rsid w:val="39AD58C4"/>
    <w:rsid w:val="3A9858BD"/>
    <w:rsid w:val="3AA86B23"/>
    <w:rsid w:val="3CD71A19"/>
    <w:rsid w:val="3D45293D"/>
    <w:rsid w:val="3F4425A2"/>
    <w:rsid w:val="3FCC51B9"/>
    <w:rsid w:val="40B50CF4"/>
    <w:rsid w:val="42D17F20"/>
    <w:rsid w:val="42FD0335"/>
    <w:rsid w:val="432D323D"/>
    <w:rsid w:val="436404A7"/>
    <w:rsid w:val="43B86CB7"/>
    <w:rsid w:val="453860C8"/>
    <w:rsid w:val="45D472F0"/>
    <w:rsid w:val="4D9E7AF5"/>
    <w:rsid w:val="5213473B"/>
    <w:rsid w:val="56CC0EAA"/>
    <w:rsid w:val="57286DB3"/>
    <w:rsid w:val="5ADC2D5B"/>
    <w:rsid w:val="5C367B48"/>
    <w:rsid w:val="5DDC5BCF"/>
    <w:rsid w:val="5E1C4F9F"/>
    <w:rsid w:val="5EE266ED"/>
    <w:rsid w:val="60570CCE"/>
    <w:rsid w:val="615B130F"/>
    <w:rsid w:val="61E51427"/>
    <w:rsid w:val="63CC2D76"/>
    <w:rsid w:val="660E5B28"/>
    <w:rsid w:val="66387253"/>
    <w:rsid w:val="69523F40"/>
    <w:rsid w:val="6CA351A2"/>
    <w:rsid w:val="74107E9F"/>
    <w:rsid w:val="74325266"/>
    <w:rsid w:val="75FC5F5A"/>
    <w:rsid w:val="76D23B71"/>
    <w:rsid w:val="76F125B0"/>
    <w:rsid w:val="7700512A"/>
    <w:rsid w:val="774502E9"/>
    <w:rsid w:val="77C67628"/>
    <w:rsid w:val="77D20321"/>
    <w:rsid w:val="7EE979F0"/>
    <w:rsid w:val="7F41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2021-11-23T01:17:00Z</dcterms:created>
  <dc:creator>春</dc:creator>
  <cp:lastModifiedBy>春</cp:lastModifiedBy>
  <dcterms:modified xsi:type="dcterms:W3CDTF">2021-11-23T03:05:49Z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D45997320A894A64856753B118752496</vt:lpwstr>
  </property>
</Properties>
</file>