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附件1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高校科研实验室安全检查对照表（2016）</w:t>
      </w:r>
    </w:p>
    <w:tbl>
      <w:tblPr>
        <w:tblStyle w:val="3"/>
        <w:tblpPr w:vertAnchor="page" w:horzAnchor="page" w:tblpX="1829" w:tblpY="2740"/>
        <w:tblOverlap w:val="never"/>
        <w:tblW w:w="9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5612"/>
        <w:gridCol w:w="716"/>
        <w:gridCol w:w="900"/>
        <w:gridCol w:w="9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序号</w:t>
            </w:r>
          </w:p>
        </w:tc>
        <w:tc>
          <w:tcPr>
            <w:tcW w:w="5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检查项目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exac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符合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不符合</w:t>
            </w:r>
          </w:p>
        </w:tc>
        <w:tc>
          <w:tcPr>
            <w:tcW w:w="922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1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组织体系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学校层面安全责任体系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有校级实验室安全工作领导机构，由校长或分管校长挂帅， 相关职能部门参与，设办公室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有处级管理部门管理实验室安全工作。设实验室安全管理科 室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6"/>
              </w:rPr>
              <w:t>3</w:t>
            </w:r>
            <w:r>
              <w:rPr>
                <w:rStyle w:val="7"/>
              </w:rPr>
              <w:t>万学生规模以上且仪器设备总值超过</w:t>
            </w:r>
            <w:r>
              <w:rPr>
                <w:rStyle w:val="6"/>
                <w:lang w:val="zh-TW"/>
              </w:rPr>
              <w:t>3</w:t>
            </w:r>
            <w:r>
              <w:rPr>
                <w:rStyle w:val="7"/>
              </w:rPr>
              <w:t>亿元）</w:t>
            </w:r>
            <w:r>
              <w:rPr>
                <w:rStyle w:val="7"/>
                <w:lang w:val="en-US"/>
              </w:rPr>
              <w:t>，</w:t>
            </w:r>
            <w:r>
              <w:rPr>
                <w:rStyle w:val="7"/>
              </w:rPr>
              <w:t>或有 专职的实验室安全管理人员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有教师（含退休回聘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或学生组成的实验室安全督查/协查 队伍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学校与二级单位签订实验室安全管理责任书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建立实验室安全准入体系，特别是化学化工类实验室实行了 安全准入制度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1.1.6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主管实验室安全的负责人在岗一年内通过了上一级组织的 实验室安全培训，持有效证书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1.2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院系层面安全责任体系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1.2.1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成立实验室安全领导小组，由党</w:t>
            </w:r>
            <w:r>
              <w:rPr>
                <w:rStyle w:val="6"/>
                <w:lang w:val="zh-TW"/>
              </w:rPr>
              <w:t>/</w:t>
            </w:r>
            <w:r>
              <w:rPr>
                <w:rStyle w:val="7"/>
              </w:rPr>
              <w:t>政一把手挂帅，研宄所、 中心、教研室、实验室等负责人参加。分管实验室的领导主 管实验室安全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1.2.2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理（除数学）、工、农、医类院系有专职实验室安全管理人 员，文、管、艺术类、数学有兼职实验室安全管理人员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1.2.3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建立二级单位的安全责任体系，所有实验房间（包括分布在 主校区和其它校区）都需明确安全责任人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1.2.4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4" w:lineRule="exact"/>
              <w:jc w:val="both"/>
            </w:pPr>
            <w:r>
              <w:rPr>
                <w:rStyle w:val="7"/>
              </w:rPr>
              <w:t>实验室安全管理责任书要层层签订到房间安全责任人，及每 一位教授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1.3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经费保障</w:t>
            </w:r>
            <w:r>
              <w:rPr>
                <w:rStyle w:val="5"/>
                <w:rFonts w:hint="eastAsia" w:eastAsia="宋体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1.3.1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学校每年有实验室安全常规经费预算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1.3.2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有专项经费或自筹经费投入实验室安全建设与管理，实验室 安全检查中的隐患整改经费能够落实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2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规章制度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2.1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校级层面实验室安全管理制度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2.1.1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有实验室技术安全管理办法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2.1.2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有实验室安全责任追究制度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2.1.3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有实验室安全检查制度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2.1.4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有化学品、生物、辐射、电气、机械、排污、仪器设备、安 全教育等安全管理规定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2.1.5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有应急预案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包括化学品、生物、辐射、电气、机械等分类）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院系层面的安全管理制度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2.2.1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具有学科特色的实验室安全管理制度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2.2.2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有安全检查与值班值日制度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2.2.3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有仪器设备的安全操作规程（包括大型仪器，高温、高速、 高压、强磁、低温等设备），并上墙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2.2.4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危险性实验有操作规程（含安全注意事项），并上墙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2.2.5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有体现学科特色的应急预案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2.3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安全检查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实验室名称：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color w:val="000000"/>
          <w:sz w:val="24"/>
          <w:szCs w:val="24"/>
          <w:lang w:val="en-US" w:eastAsia="zh-CN" w:bidi="ar-SA"/>
        </w:rPr>
      </w:pPr>
    </w:p>
    <w:p>
      <w:pPr>
        <w:rPr>
          <w:rFonts w:hint="eastAsia" w:eastAsia="宋体"/>
          <w:color w:val="000000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/>
        <w:tblOverlap w:val="never"/>
        <w:tblW w:w="89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5609"/>
        <w:gridCol w:w="713"/>
        <w:gridCol w:w="900"/>
        <w:gridCol w:w="91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序号</w:t>
            </w:r>
          </w:p>
        </w:tc>
        <w:tc>
          <w:tcPr>
            <w:tcW w:w="56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检查项目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exact"/>
          <w:jc w:val="center"/>
        </w:trPr>
        <w:tc>
          <w:tcPr>
            <w:tcW w:w="8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符合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不符合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2.3.1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jc w:val="both"/>
            </w:pPr>
            <w:r>
              <w:rPr>
                <w:rStyle w:val="7"/>
              </w:rPr>
              <w:t>学校层面的安全检查每年不少于</w:t>
            </w:r>
            <w:r>
              <w:rPr>
                <w:rStyle w:val="6"/>
                <w:lang w:val="zh-TW"/>
              </w:rPr>
              <w:t>2</w:t>
            </w:r>
            <w:r>
              <w:rPr>
                <w:rStyle w:val="7"/>
              </w:rPr>
              <w:t>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2.3.2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建立安全检查和值日台账，且记录规范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2.3.3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对于检查发现存在问题的，有合适的方式通知被查实验室， 如网上公示、整改通知书等</w:t>
            </w:r>
            <w:r>
              <w:rPr>
                <w:rStyle w:val="7"/>
                <w:lang w:val="en-US"/>
              </w:rPr>
              <w:t>，</w:t>
            </w:r>
            <w:r>
              <w:rPr>
                <w:rStyle w:val="7"/>
              </w:rPr>
              <w:t>并规范存档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2.3.4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检查出的问题得到及时的整改，有整改记录并存档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2.3.5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事故调查、处理程序规范，资料存档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  <w:lang w:val="zh-TW"/>
              </w:rPr>
              <w:t>3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安全教育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3.1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教育培训计划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3.1.1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有年度安全教育培训计划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3.1.2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有安全教育和培训的记录，并规范存档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3.2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活动组织与实施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3.2.1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开展了教职工安全教育与培训，有资料存档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3.2.2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开展了研究生安全教育与培训，有资料存档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3.2.3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开展了本科生安全教育与培训，有资料存档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3.2.4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开展了结合学科特点的应急演练，有资料存档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3.3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实验室安全考试系统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3.3.1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建立了实验室安全考试系统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3.3.2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每年组织本科生、研究生学习与考试，发放合格证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3.3.3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组织对教师的考试，有记录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3.4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宣传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3.4.1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在本单位主页设立专门的板块开展安全宣传、报道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3.4.2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设有安全教育宣传窗，或有宣传画、标语、提示等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3.4.3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编印《实验室安全手册》并发放到每一位师生，收回承诺书 并归档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3.4.4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通过各种信息平台对师生进行安全方面的知识传输和温馨 提醒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  <w:lang w:val="zh-TW"/>
              </w:rPr>
              <w:t>4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实验室环境与管理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场所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每个房间门口挂有安全信息牌，信息包括安全责任人、涉及 危险类别、防护措施和有效的应急联系电话等，并及时更新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Style w:val="5"/>
                <w:rFonts w:hint="eastAsia" w:eastAsia="宋体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实验室应张贴针对危险源的安全瞥示标识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Style w:val="5"/>
                <w:rFonts w:hint="eastAsia" w:eastAsia="宋体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实验室消防通道通畅，公共场所、通道无堆放仪器、物品现 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实验室门上有观察窗，外开门不阻挡逃生路径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Style w:val="5"/>
                <w:rFonts w:hint="eastAsia" w:eastAsia="宋体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所有房间的钥匙有备用，存放在单位办公室或传达室内，由 专人管理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4.1.6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jc w:val="both"/>
            </w:pPr>
            <w:r>
              <w:rPr>
                <w:rStyle w:val="7"/>
              </w:rPr>
              <w:t>超过</w:t>
            </w:r>
            <w:r>
              <w:rPr>
                <w:rStyle w:val="6"/>
                <w:lang w:val="zh-TW"/>
              </w:rPr>
              <w:t>200</w:t>
            </w:r>
            <w:r>
              <w:rPr>
                <w:rStyle w:val="7"/>
              </w:rPr>
              <w:t>平米的实验室或楼层应具有至少两处紧急出口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4.2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卫生与环境</w:t>
            </w:r>
            <w:r>
              <w:rPr>
                <w:rStyle w:val="5"/>
                <w:rFonts w:hint="eastAsia" w:eastAsia="宋体"/>
                <w:lang w:val="en-US" w:eastAsia="zh-CN"/>
              </w:rPr>
              <w:t xml:space="preserve">                                                                                                                           </w:t>
            </w:r>
            <w:r>
              <w:rPr>
                <w:rStyle w:val="5"/>
                <w:rFonts w:hint="eastAsia" w:eastAsia="宋体"/>
                <w:b w:val="0"/>
                <w:bCs w:val="0"/>
                <w:lang w:val="en-US" w:eastAsia="zh-CN"/>
              </w:rPr>
              <w:t xml:space="preserve">  各实验室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4.2.1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有毒有害实验区与学习区明确分开，布局合理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4.2.2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实验室物品摆放有序，卫生状况良好；实验完毕物品归位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4.2.3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不存在门开着而无人的现象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4.2.4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无废弃物品（如纸板箱、废电脑、破仪器、破家具等）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危险品仓库与中转站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学校有危险品仓库，符合相关规定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学校有化学实验废弃物中转站，符合相关规定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学校有生化固废中转站，符合相关规定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照明和消防设施符合国家相关规定，正确配备灭火器材（如 灭火器、灭火毯等）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安装监控、报警装置、通风装置和喷淋装置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4.3.6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张贴安全瞥示标识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4.3.7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化学品、废弃物分类区域明确，规范放置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6"/>
              </w:rPr>
              <w:t>4.3.8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建立进出库台账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/>
        <w:tblOverlap w:val="never"/>
        <w:tblW w:w="901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6"/>
        <w:gridCol w:w="4"/>
        <w:gridCol w:w="5598"/>
        <w:gridCol w:w="18"/>
        <w:gridCol w:w="698"/>
        <w:gridCol w:w="15"/>
        <w:gridCol w:w="885"/>
        <w:gridCol w:w="19"/>
        <w:gridCol w:w="913"/>
        <w:gridCol w:w="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" w:hRule="exact"/>
          <w:jc w:val="center"/>
        </w:trPr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序号</w:t>
            </w:r>
          </w:p>
        </w:tc>
        <w:tc>
          <w:tcPr>
            <w:tcW w:w="5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exact"/>
          <w:jc w:val="center"/>
        </w:trPr>
        <w:tc>
          <w:tcPr>
            <w:tcW w:w="85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16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符合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不符合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00"/>
            </w:pPr>
            <w:r>
              <w:rPr>
                <w:rStyle w:val="5"/>
              </w:rPr>
              <w:t>场所其它安全</w:t>
            </w:r>
            <w:r>
              <w:rPr>
                <w:rStyle w:val="5"/>
                <w:rFonts w:hint="eastAsia" w:eastAsia="宋体"/>
                <w:lang w:val="en-US" w:eastAsia="zh-CN"/>
              </w:rPr>
              <w:t xml:space="preserve">                                                                                                                         各实验室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4.4.1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楼层或实验室配备了急救药箱，药箱不上锁、药品在保质期 内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实验室内不放无关物品，如电动车、自行车等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4.4.3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实验室内不存放或烧煮食物、饮食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4.4.4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不在实验室内睡觉过夜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4.4.5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实验室内无吸烟现象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4.4.6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化学、生物类实验室不得使用可燃性蚊香。其它实验室如需 使用，其底盘必须是金属的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4.4.7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屋顶天花板安全固定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5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安全设施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5.1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消防设施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5.1.1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根据实验室情况配置相应的消防器材（烟感报瞥器、灭火器、 灭火毯、消防栓、手动报警器、沙桶等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，并正常有效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5.1.2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实验大楼有逃生线路指示图，并安装了应急指示灯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5.1.3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灭火器配备数量合理、种类合适，无过期现象，摆放位置利 于取用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5.1.4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重点部位有防盗和监控设施，包括剧毒品、病原微生物和放 射源存放点等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应急喷淋装置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5.2.1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化学和生物类实验室有应急喷淋装置和洗眼装置，且正常有 效异有巡检记录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5.2.2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应急喷淋装置水管总阀处常开状，喷头下方无障碍物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5.2.3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应急喷淋装置水压能保障出水畅通，洗眼装置的水压适中以 保证一定的出水高度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5.2.4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实验室内有毛巾或毛巾毯并置于应急喷淋装置附近，随时可 用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5.3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通风系统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5.3.1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配备符合要求的通风系统；对于排放有毒有味废气体的实验 室，有吸收过滤装置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5.3.2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通风系统运行正常，有风速测定等维护、检修记录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5.3.3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换气扇使用正常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5.3.4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屋顶风机固定无松动、无异常噪声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5.3.5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使用可燃气体场所应采用防爆通风机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6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水电安全</w:t>
            </w:r>
            <w:r>
              <w:rPr>
                <w:rStyle w:val="5"/>
                <w:rFonts w:hint="eastAsia" w:eastAsia="宋体"/>
                <w:lang w:val="en-US" w:eastAsia="zh-CN"/>
              </w:rPr>
              <w:t xml:space="preserve">                                                                                                                                 后勤处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</w:t>
            </w:r>
          </w:p>
        </w:tc>
        <w:tc>
          <w:tcPr>
            <w:tcW w:w="81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用电基础安全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6.1.1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插头插座功率需匹配，无私自改装现象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不乱拉乱接电线，无电线老化、使用花线和木质配电板的现 象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6.1.3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多个大功率仪器不使用同一个接线板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6.1.4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不能多个接线板串联、接线板不直接放在地面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6.1.5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无电源插座未固定、插座插头破损现象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6.1.6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大功率仪器（包括空调等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有专用插座，用电负荷满足要求； 长期不用时，应拔出电源插头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6.1.7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无人状态下，充电器（宝）不能充电过夜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6.1.8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水槽边不安装电源插座，如确实需要，应有防护挡板或防护 罩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6.1.9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实验室和电气设备配备空气开关和漏电保护器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6.1.10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电线接头绝缘可靠，无裸露连接线，地板上的导线应有盖板 或护套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6.1.11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加热器采用耐高温阻燃导线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" w:hRule="exact"/>
          <w:jc w:val="center"/>
        </w:trPr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6.1.12</w:t>
            </w:r>
          </w:p>
        </w:tc>
        <w:tc>
          <w:tcPr>
            <w:tcW w:w="5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配电柜/箱无物品遮挡并便于操作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63" w:hRule="exac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序号</w:t>
            </w:r>
          </w:p>
        </w:tc>
        <w:tc>
          <w:tcPr>
            <w:tcW w:w="56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检查项目</w:t>
            </w:r>
          </w:p>
        </w:tc>
        <w:tc>
          <w:tcPr>
            <w:tcW w:w="25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5" w:hRule="exac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0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符合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20"/>
            </w:pPr>
            <w:r>
              <w:rPr>
                <w:rStyle w:val="5"/>
              </w:rPr>
              <w:t>不符合</w:t>
            </w:r>
            <w:r>
              <w:rPr>
                <w:rStyle w:val="6"/>
                <w:lang w:val="zh-TW"/>
              </w:rPr>
              <w:t>|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6.2</w:t>
            </w:r>
          </w:p>
        </w:tc>
        <w:tc>
          <w:tcPr>
            <w:tcW w:w="815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00"/>
            </w:pPr>
            <w:r>
              <w:rPr>
                <w:rStyle w:val="5"/>
              </w:rPr>
              <w:t>用水安全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6.2.1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下水道畅通，不存在水龙头、水管破损现象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6.2.2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0" w:lineRule="exact"/>
              <w:jc w:val="both"/>
            </w:pPr>
            <w:r>
              <w:rPr>
                <w:rStyle w:val="7"/>
              </w:rPr>
              <w:t>各类链接管无老化破损现象（特别是冷却冷凝系统的橡胶管 接口处</w:t>
            </w:r>
            <w:r>
              <w:rPr>
                <w:rStyle w:val="7"/>
                <w:lang w:val="en-US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6.2.3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无自来水龙头开着时人离开的现象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7</w:t>
            </w:r>
          </w:p>
        </w:tc>
        <w:tc>
          <w:tcPr>
            <w:tcW w:w="815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00"/>
            </w:pPr>
            <w:r>
              <w:rPr>
                <w:rStyle w:val="5"/>
              </w:rPr>
              <w:t>化学安全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化学试剂存放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7.1.1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有房间内化学品的动态台帐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7.1.2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有序分类存放（柜子门上粘贴清单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，放置位置便于查找取 用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7.1.3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强酸与强碱、氧化剂与还原剂等分开存放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7.1.4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固体与液体分开存放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如在同一试剂柜中，液体需放置在下 层）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7.1.5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化学品不存在叠放现象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7.1.6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腐蚀溶剂配有托盘类的二次泄漏防护容器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7.1.7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化学试剂标签无脱落、模糊现象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7.1.8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存放点通风、隔热、避光、安全；有机溶剂远离热源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3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7.1.9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无存放大桶试剂现象、无大量存放化学试剂现象（用量较大 的试剂存量应控制在一周计划用量之内</w:t>
            </w:r>
            <w:r>
              <w:rPr>
                <w:rStyle w:val="7"/>
                <w:lang w:val="en-US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731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7.1.10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如单个实验装置存在</w:t>
            </w:r>
            <w:r>
              <w:rPr>
                <w:rStyle w:val="6"/>
              </w:rPr>
              <w:t>10L</w:t>
            </w:r>
            <w:r>
              <w:rPr>
                <w:rStyle w:val="7"/>
              </w:rPr>
              <w:t>以上甲类物质储罐，或</w:t>
            </w:r>
            <w:r>
              <w:rPr>
                <w:rStyle w:val="6"/>
              </w:rPr>
              <w:t>20L</w:t>
            </w:r>
            <w:r>
              <w:rPr>
                <w:rStyle w:val="7"/>
              </w:rPr>
              <w:t>以上 乙类物质储罐，或</w:t>
            </w:r>
            <w:r>
              <w:rPr>
                <w:rStyle w:val="6"/>
              </w:rPr>
              <w:t>50L</w:t>
            </w:r>
            <w:r>
              <w:rPr>
                <w:rStyle w:val="7"/>
              </w:rPr>
              <w:t>以上丙类物质储罐，需加装泄露报警 器及通风联动装置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7.1.11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过期药品定期清理，无过期药品累积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7.1.12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无试剂瓶开口放置现象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7.1.13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易泄漏、挥发的试剂应存放在具有通风、吸附功能的试剂柜 内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剧毒品管理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0"/>
                <w:szCs w:val="1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7.2.1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剧毒品购买前须经公安部门审批，并凭证向具有经营许可资 质的单位购买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7.2.2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校职能部门负责校内审批，并保留资料、建立档案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731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7.2.3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ind w:left="120"/>
            </w:pPr>
            <w:r>
              <w:rPr>
                <w:rStyle w:val="7"/>
              </w:rPr>
              <w:t>配备专门的保险柜并固定，实行双人双锁保管（只有</w:t>
            </w:r>
            <w:r>
              <w:rPr>
                <w:rStyle w:val="6"/>
                <w:lang w:val="zh-TW"/>
              </w:rPr>
              <w:t>2</w:t>
            </w:r>
            <w:r>
              <w:rPr>
                <w:rStyle w:val="7"/>
              </w:rPr>
              <w:t>名分 别掌管了钥匙和密码的保管人同时到场时才能开启保险 柜），需配备报瞥及监控设备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3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7.2.4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对于具有高挥发性、低闪点的剧毒品应存放在具有防爆功能 的冰箱内，并配备双锁，实行双人双锁保管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7.2.5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执行双人收发、双人运输，有记录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7.2.6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使用时有两人同时在场，且计量取用后立即放回保险柜，并 做好记录（双人签字）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6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7.2.7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有规范的剧毒品处置方法，双人签字记录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7.2.8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按有关规定对残余、废弃的剧毒品或空瓶进行处置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7.2.9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不得私自从外单位获取剧毒品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48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其它管控药品的管理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7.3.1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各类管控药品采购有校内报批流程，并建档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7.3.2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易制毒品购买前须经公安部门审批</w:t>
            </w:r>
            <w:r>
              <w:rPr>
                <w:rStyle w:val="7"/>
                <w:lang w:val="en-US"/>
              </w:rPr>
              <w:t>，</w:t>
            </w:r>
            <w:r>
              <w:rPr>
                <w:rStyle w:val="7"/>
              </w:rPr>
              <w:t>并凭证向具有经营许 可资质的单位购买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3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7.3.3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易制毒品分类存放、专人保管，做好领取、使用、处置记录。 其中第一类易制毒品实行</w:t>
            </w:r>
            <w:r>
              <w:rPr>
                <w:rStyle w:val="6"/>
                <w:lang w:val="zh-TW"/>
              </w:rPr>
              <w:t>“</w:t>
            </w:r>
            <w:r>
              <w:rPr>
                <w:rStyle w:val="7"/>
              </w:rPr>
              <w:t>五双”管理制度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49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7.3.4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易制爆品购买前须经公安部门审批，或按照政府管理的规 定要求采购，并向具有经营许可资质的单位购买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252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7.3.5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易制爆品分类存放、专人保管，做好领取、使用、处置记录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6" w:type="dxa"/>
          <w:trHeight w:val="500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7.3.6</w:t>
            </w:r>
          </w:p>
        </w:tc>
        <w:tc>
          <w:tcPr>
            <w:tcW w:w="5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麻醉药品、精神药品等购买前须向食品药品监督管理部门申 请，报批同意后向定点供应商或者定点生产企业采购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/>
        <w:tblOverlap w:val="never"/>
        <w:tblW w:w="900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0"/>
        <w:gridCol w:w="5612"/>
        <w:gridCol w:w="713"/>
        <w:gridCol w:w="904"/>
        <w:gridCol w:w="92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exac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40"/>
            </w:pPr>
            <w:r>
              <w:rPr>
                <w:rStyle w:val="7"/>
              </w:rPr>
              <w:t>序号</w:t>
            </w:r>
          </w:p>
        </w:tc>
        <w:tc>
          <w:tcPr>
            <w:tcW w:w="56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检查项目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exac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1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40"/>
            </w:pPr>
            <w:r>
              <w:rPr>
                <w:rStyle w:val="7"/>
              </w:rPr>
              <w:t>符合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不符合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7.3.7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4" w:lineRule="exact"/>
              <w:jc w:val="both"/>
            </w:pPr>
            <w:r>
              <w:rPr>
                <w:rStyle w:val="7"/>
              </w:rPr>
              <w:t>麻醉品和精神类药品储存于专门的保险柜中，有规范的领 取、使用、处置台账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7.3.8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4" w:lineRule="exact"/>
              <w:jc w:val="both"/>
            </w:pPr>
            <w:r>
              <w:rPr>
                <w:rStyle w:val="7"/>
              </w:rPr>
              <w:t>爆炸品的采购、运输、存储、使用、销毁按照公安部门的要 求执行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实验气体管理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有气体钢瓶台帐，钢瓶颜色和字体清楚，在用气体有检验合 格标识。需更换的气瓶应有标识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可燃性气体与氧气等助燃气体不混放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涉及剧毒、易燃易爆气体的场所，配有通风设施和合适的监 控报瞥装置等；张贴必要的安全瞥示标识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大量惰性气体或</w:t>
            </w:r>
            <w:r>
              <w:rPr>
                <w:rStyle w:val="6"/>
                <w:lang w:val="zh-TW"/>
              </w:rPr>
              <w:t>(</w:t>
            </w:r>
            <w:r>
              <w:rPr>
                <w:rStyle w:val="7"/>
              </w:rPr>
              <w:t>：</w:t>
            </w:r>
            <w:r>
              <w:rPr>
                <w:rStyle w:val="6"/>
                <w:lang w:val="zh-TW"/>
              </w:rPr>
              <w:t>0</w:t>
            </w:r>
            <w:r>
              <w:rPr>
                <w:rStyle w:val="7"/>
                <w:vertAlign w:val="subscript"/>
              </w:rPr>
              <w:t>2</w:t>
            </w:r>
            <w:r>
              <w:rPr>
                <w:rStyle w:val="7"/>
              </w:rPr>
              <w:t>存放在有限空间内时需加装氧气含量 报警器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危险气体钢瓶存放点通风、远离热源；无气体钢瓶放在走廊、 大厅等公共场所的现象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7.4.6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气体钢瓶正确固定，避免暴晒，钢瓶放置地面平整干燥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7.4.7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气体连接管路连接正确、有标识，管路材质选择合适，无破 损或老化现象。对于存在多条气体管路的房间张贴了详细的 管路图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7.4.8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不能带着减压阀移动钢瓶、不得在地上滚动钢瓶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7.4.9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时常进行检漏，实验结束后，气体钢瓶总阀已关闭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7.4.10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独立的气体钢瓶室有专人管理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7.4.11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气体钢瓶有定期安全检测标识（由供应商负责进行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，无过 期气体钢瓶，无大量气体钢瓶堆放现象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化学废弃物处置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与有资质的处置单位（企业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签约处置化学废弃物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4" w:lineRule="exact"/>
              <w:jc w:val="both"/>
            </w:pPr>
            <w:r>
              <w:rPr>
                <w:rStyle w:val="7"/>
              </w:rPr>
              <w:t>学校有统一的化学实验废弃物标签，包含废物类别、危险类 另</w:t>
            </w:r>
            <w:r>
              <w:rPr>
                <w:rStyle w:val="6"/>
              </w:rPr>
              <w:t>IJ</w:t>
            </w:r>
            <w:r>
              <w:rPr>
                <w:rStyle w:val="7"/>
                <w:lang w:val="en-US"/>
              </w:rPr>
              <w:t>、</w:t>
            </w:r>
            <w:r>
              <w:rPr>
                <w:rStyle w:val="7"/>
              </w:rPr>
              <w:t>主要成分、产生单位、送储人、日期等信息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配备了化学实验废弃物分类容器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对化学废弃物进行了分类存放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应避免易产生剧烈反应的物 品混放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、包装严密，并贴好标签，及时送学校中转站或收 集点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定时清运化学实验废弃物，实验室内无大量存放、室外无堆 放实验废弃物现象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7.5.6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实验废弃物和生活垃圾不混放，不向下水道倾倒废旧化学试 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7.5.7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对于产生有毒和异味废气的，有气体吸收装置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7.5.8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锐器废物盛放在纸板箱等不易被刺穿的容器中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其它化学安全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7.6.1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学校有统一的试剂标签（用于配置试剂、合成品、样品等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， 信息包括名称、浓度、责任人、日期、储存条件等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7.6.2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配置试剂、合成品、样品等标签信息明确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7.6.3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盛放配置试剂、合成品等的烧杯、烧瓶不得无盖放置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7.6.4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无使用饮料瓶存放试剂、样品的现象。如确需存放，必须撕 去原包装纸，贴上专用标签纸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7.6.5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原标签纸未撕去的空试剂瓶中不存放其它化学品的现象（除 非将原标签撕去、重新贴上专用标签纸</w:t>
            </w:r>
            <w:r>
              <w:rPr>
                <w:rStyle w:val="7"/>
                <w:lang w:val="en-US"/>
              </w:rPr>
              <w:t>）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7.6.6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用于浸泡玻璃器皿的酸缸、碱缸等有盖子盖上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7.6.7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不使用破损量筒、试管等玻璃器皿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7.6.8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涉及危险化学品的实验室化学品安全技术说明书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6"/>
              </w:rPr>
              <w:t xml:space="preserve">MSDS) </w:t>
            </w:r>
            <w:r>
              <w:rPr>
                <w:rStyle w:val="7"/>
              </w:rPr>
              <w:t>或安全周知卡，放在门上/门边活动袋中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7.6.9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危险性化学实验有实验指导书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7.6.10</w:t>
            </w:r>
          </w:p>
        </w:tc>
        <w:tc>
          <w:tcPr>
            <w:tcW w:w="5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实验室内有吸液（油）棉/条带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3"/>
        <w:tblpPr w:vertAnchor="page" w:horzAnchor="page" w:tblpX="1591" w:tblpY="2573"/>
        <w:tblOverlap w:val="never"/>
        <w:tblW w:w="90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3"/>
        <w:gridCol w:w="5609"/>
        <w:gridCol w:w="716"/>
        <w:gridCol w:w="896"/>
        <w:gridCol w:w="9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  <w:b w:val="0"/>
                <w:bCs w:val="0"/>
              </w:rPr>
              <w:t>序号</w:t>
            </w:r>
          </w:p>
        </w:tc>
        <w:tc>
          <w:tcPr>
            <w:tcW w:w="56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  <w:b w:val="0"/>
                <w:bCs w:val="0"/>
              </w:rPr>
              <w:t>检查项目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  <w:b w:val="0"/>
                <w:bCs w:val="0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0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  <w:b w:val="0"/>
                <w:bCs w:val="0"/>
              </w:rPr>
              <w:t>符合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  <w:b w:val="0"/>
                <w:bCs w:val="0"/>
              </w:rPr>
              <w:t>不符合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8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  <w:b w:val="0"/>
                <w:bCs w:val="0"/>
              </w:rPr>
              <w:t>生物安全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  <w:b w:val="0"/>
                <w:bCs w:val="0"/>
              </w:rPr>
              <w:t>实验室与人员资质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开展病原微生物相关实验和研宄的实验室，须具备相应的安 全等级资质和生物危害因子实验活动资格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开展病原微生物相关实验和研宄的人员经过专业培训，并取 得相应的</w:t>
            </w:r>
            <w:r>
              <w:rPr>
                <w:rStyle w:val="6"/>
                <w:lang w:val="zh-TW"/>
              </w:rPr>
              <w:t>“</w:t>
            </w:r>
            <w:r>
              <w:rPr>
                <w:rStyle w:val="7"/>
              </w:rPr>
              <w:t>证书</w:t>
            </w:r>
            <w:r>
              <w:rPr>
                <w:rStyle w:val="6"/>
                <w:lang w:val="zh-TW"/>
              </w:rPr>
              <w:t>”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开展病原微生物实验须向卫生或农业主管部门申报备案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开展未经灭活的高致病性病原微生物（列入一类、二类）相 关实验和研究，必须在</w:t>
            </w:r>
            <w:r>
              <w:rPr>
                <w:rStyle w:val="6"/>
              </w:rPr>
              <w:t>BSL-3/ABSL-3</w:t>
            </w:r>
            <w:r>
              <w:rPr>
                <w:rStyle w:val="7"/>
                <w:lang w:val="en-US"/>
              </w:rPr>
              <w:t>、</w:t>
            </w:r>
            <w:r>
              <w:rPr>
                <w:rStyle w:val="6"/>
              </w:rPr>
              <w:t>BSL-4/ABSL-4</w:t>
            </w:r>
            <w:r>
              <w:rPr>
                <w:rStyle w:val="7"/>
              </w:rPr>
              <w:t>实 验室中进行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ind w:left="120"/>
            </w:pPr>
            <w:r>
              <w:rPr>
                <w:rStyle w:val="7"/>
              </w:rPr>
              <w:t>开展低致病性病原微生物（列入三类、四类），或经灭活的 高致病性感染性材料的相关实验和研宄，必须在</w:t>
            </w:r>
            <w:r>
              <w:rPr>
                <w:rStyle w:val="6"/>
              </w:rPr>
              <w:t>BSL-1/ ABSL-1</w:t>
            </w:r>
            <w:r>
              <w:rPr>
                <w:rStyle w:val="7"/>
              </w:rPr>
              <w:t>及以上等级实验室中进行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8.1.6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饲养实验动物的场所应有资质证书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8.1.7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实验动物需从具有资质的单位购买，具有合格证明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  <w:b w:val="0"/>
                <w:bCs w:val="0"/>
              </w:rPr>
              <w:t>设施与场所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5" w:lineRule="exact"/>
              <w:jc w:val="both"/>
            </w:pPr>
            <w:r>
              <w:rPr>
                <w:rStyle w:val="7"/>
              </w:rPr>
              <w:t>实验室安全防范设施达到安全要求，</w:t>
            </w:r>
            <w:r>
              <w:rPr>
                <w:rStyle w:val="6"/>
              </w:rPr>
              <w:t>BSL-2/ABSL-2</w:t>
            </w:r>
            <w:r>
              <w:rPr>
                <w:rStyle w:val="7"/>
              </w:rPr>
              <w:t>及以上 安全等级实验室须有门禁和准入制度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配有符合相应生物安全等级要求的生物安全柜，定期检查生 物安全柜风速及高效空气微粒过滤器性能，并做好了记录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储存病原微生物的场所或储柜配备防盗设施，并安装监控报</w:t>
            </w:r>
          </w:p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替装置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有高压灭菌器，并能正常工作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安装了防虫纱窗、入口处有挡鼠板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8.2.6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传递窗内无物品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  <w:b w:val="0"/>
                <w:bCs w:val="0"/>
              </w:rPr>
              <w:t>操作与管理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采购高致病性病原微生物需经学院和学校审批，报行业主管 部门抽准，有记录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实验室自行分离的高致病性病原微生物，需按有关规定报卫 生或农业主管部门批准，方可保藏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有病原微生物保藏、实验使用、销毁的记录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在合适的生物安全柜中进行实验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对病原微生物的操作具有相应的个人防护措施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8.3.6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8" w:lineRule="exact"/>
              <w:jc w:val="both"/>
            </w:pPr>
            <w:r>
              <w:rPr>
                <w:rStyle w:val="6"/>
              </w:rPr>
              <w:t>BSL-2 /ABSL-2</w:t>
            </w:r>
            <w:r>
              <w:rPr>
                <w:rStyle w:val="7"/>
              </w:rPr>
              <w:t>及以上等级实验室，开展病原微生物的相关 实验活动应有风险评估和应急预案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8.3.7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禁止戴实验防护手套操作未受潜在感染性生物材料污染的 设施设备（包括门窗、开关、仪器、冰箱、电脑、电话等</w:t>
            </w:r>
            <w:r>
              <w:rPr>
                <w:rStyle w:val="7"/>
                <w:lang w:val="en-US"/>
              </w:rPr>
              <w:t>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8.3.8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用于解剖的实验动物须经过检验检疫合格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8.3.9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解剖实验动物时，必须做好个人防护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  <w:b w:val="0"/>
                <w:bCs w:val="0"/>
              </w:rPr>
              <w:t>生物实验废弃物处置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8.4.1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涉及病原微生物的实验室废弃物必须进行高温高压灭菌或 化学浸泡灭菌处理，并有处置的记录。高致病性生物材料废 弃物处置实现溯源追踪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8.4.2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学校有统一的生化固体废弃物标签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8.4.3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配备了生化固废分类容器（一般生化固废使用黄色塑料袋存 放），刀片、移液枪头等尖锐物应使用纸板箱外包装以避免 穿透伤人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1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8.4.4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对生物实验废弃物按照是否具有毒性和病原性进行分类收 集，并贴好标签。对有毒有害废弃物经高温高压处置后及时 送学校中转站或收集点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8.4.5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实验动物实验结束后，送学校中转站或收集点，统一处理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8.4.6</w:t>
            </w:r>
          </w:p>
        </w:tc>
        <w:tc>
          <w:tcPr>
            <w:tcW w:w="5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与有资质的单位签约处置生化废弃物，有处置记录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/>
        <w:tblOverlap w:val="never"/>
        <w:tblW w:w="90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3"/>
        <w:gridCol w:w="4"/>
        <w:gridCol w:w="5601"/>
        <w:gridCol w:w="19"/>
        <w:gridCol w:w="697"/>
        <w:gridCol w:w="19"/>
        <w:gridCol w:w="877"/>
        <w:gridCol w:w="23"/>
        <w:gridCol w:w="906"/>
        <w:gridCol w:w="2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" w:hRule="exact"/>
          <w:jc w:val="center"/>
        </w:trPr>
        <w:tc>
          <w:tcPr>
            <w:tcW w:w="8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序号</w:t>
            </w:r>
          </w:p>
        </w:tc>
        <w:tc>
          <w:tcPr>
            <w:tcW w:w="5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检查项目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2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符合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</w:pPr>
            <w:r>
              <w:rPr>
                <w:rStyle w:val="5"/>
              </w:rPr>
              <w:t>不符合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8.4.7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有毒有害生化实验废弃物和生活垃圾不混放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9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辐射安全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实验室资质与人员要求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9.1.1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取得</w:t>
            </w:r>
            <w:r>
              <w:rPr>
                <w:rStyle w:val="6"/>
                <w:lang w:val="zh-TW"/>
              </w:rPr>
              <w:t>“</w:t>
            </w:r>
            <w:r>
              <w:rPr>
                <w:rStyle w:val="7"/>
              </w:rPr>
              <w:t>辐射安全许可证”，并按规定在放射性核素种类和用量 许可范围内开展实验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9.1.2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4" w:lineRule="exact"/>
              <w:jc w:val="both"/>
            </w:pPr>
            <w:r>
              <w:rPr>
                <w:rStyle w:val="7"/>
              </w:rPr>
              <w:t>放射性操作人员经过了专门培训，有《辐射安全与防护培训 学习合格证书》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9.1.3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涉福人员按时参加职业体检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9.1.4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涉辐人员佩带个人剂量计，并按时进行剂量检测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6"/>
              </w:rPr>
              <w:t>3</w:t>
            </w:r>
            <w:r>
              <w:rPr>
                <w:rStyle w:val="7"/>
              </w:rPr>
              <w:t>个月一 次），提供合格的个人剂量检测报告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场所与设施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辐照设施设备具有能正常工作的安全连锁装置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4" w:lineRule="exact"/>
              <w:jc w:val="both"/>
            </w:pPr>
            <w:r>
              <w:rPr>
                <w:rStyle w:val="7"/>
              </w:rPr>
              <w:t xml:space="preserve">放射源储存库双门双控，并有安全报瞥系统（与公安部门 </w:t>
            </w:r>
            <w:r>
              <w:rPr>
                <w:rStyle w:val="6"/>
                <w:lang w:val="zh-TW"/>
              </w:rPr>
              <w:t>110</w:t>
            </w:r>
            <w:r>
              <w:rPr>
                <w:rStyle w:val="7"/>
              </w:rPr>
              <w:t>联网）和视频监控系统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涉辐实验场所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放射性物质、</w:t>
            </w:r>
            <w:r>
              <w:rPr>
                <w:rStyle w:val="6"/>
                <w:lang w:val="zh-TW"/>
              </w:rPr>
              <w:t>X</w:t>
            </w:r>
            <w:r>
              <w:rPr>
                <w:rStyle w:val="7"/>
              </w:rPr>
              <w:t>射线装置）有安全替示标识、 警戒线和剂量报瞥仪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9.2.4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涉辐实验场所配备各种辐射防护器材和表面污染监测仪器 设备，有合格的实验场所检测报告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9.2.5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有专门存放放射性废弃物的容器和暂存库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9.2.6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非密封性放射性实验室有衰减池，或者有非密封性专门回收 处置场所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采购、转让转移与运输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9.3.1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放射源和放射性物质的采购和转让转移有学校及政府环保 部门的审批备案材料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9.3.2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放射源和放射性物质的转移和运输有学校及公安部门的审 批备案材料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9.3.3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放射源和放射性物质变更有及时登记台帐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放射性实验安全操作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9.4.1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6"/>
              </w:rPr>
              <w:t>r</w:t>
            </w:r>
            <w:r>
              <w:rPr>
                <w:rStyle w:val="7"/>
              </w:rPr>
              <w:t>辐照装置有符合国家相关规定的操作规程、安保方案及应 急预案，并遵照执行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9.4.2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电子加速器辐照装置有符合国家相关规定的操作规程、安保 方案及应急预案，并遵照执行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9.4.3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射线探伤仪有符合国家相关规定的操作规程、安保方案及应 急预案，并遵照执行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9.4.4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非密封性放射性实验操作有符合国家相关规定的操作规程， 并遵照执行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放射性实验废物的处置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9.5.1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报废含有放射源或可产生放射性的设备，需报学校管理部门 同意，并按国家规定进行退役处置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9.5.2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中、长半衰期核素固液废弃物有符合国家相关规定的处置方 案或回收协议，并有处置记录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9.5.3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短半衰期核素固液废弃物放置</w:t>
            </w:r>
            <w:r>
              <w:rPr>
                <w:rStyle w:val="6"/>
                <w:lang w:val="zh-TW"/>
              </w:rPr>
              <w:t>10</w:t>
            </w:r>
            <w:r>
              <w:rPr>
                <w:rStyle w:val="7"/>
              </w:rPr>
              <w:t>个半衰期经检测达标后作 为普通废物处理，并有处置记录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激光安全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9.6.1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有激光器的安全使用方法，激光设备有激光危害标识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9.6.2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功率较大的激光器有互锁装置、防护罩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9.6.3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操作人员有穿戴防护眼镜等防护用品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9.6.4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操作人员不带手表等能反光的物品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9.6.5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激光照射方向不会对他人造成伤害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  <w:lang w:val="zh-TW"/>
              </w:rPr>
              <w:t>10</w:t>
            </w:r>
          </w:p>
        </w:tc>
        <w:tc>
          <w:tcPr>
            <w:tcW w:w="81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仪器设备安全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10.1</w:t>
            </w:r>
          </w:p>
        </w:tc>
        <w:tc>
          <w:tcPr>
            <w:tcW w:w="81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常规管理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" w:hRule="exact"/>
          <w:jc w:val="center"/>
        </w:trPr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40"/>
            </w:pPr>
            <w:r>
              <w:rPr>
                <w:rStyle w:val="6"/>
              </w:rPr>
              <w:t>10.1.1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40"/>
            </w:pPr>
            <w:r>
              <w:rPr>
                <w:rStyle w:val="7"/>
              </w:rPr>
              <w:t>建立了设备台帐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9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60"/>
            </w:pPr>
            <w:r>
              <w:rPr>
                <w:rStyle w:val="7"/>
              </w:rPr>
              <w:t>序号</w:t>
            </w:r>
          </w:p>
        </w:tc>
        <w:tc>
          <w:tcPr>
            <w:tcW w:w="56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检查项目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0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40"/>
            </w:pPr>
            <w:r>
              <w:rPr>
                <w:rStyle w:val="7"/>
              </w:rPr>
              <w:t>符合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</w:pPr>
            <w:r>
              <w:rPr>
                <w:rStyle w:val="7"/>
              </w:rPr>
              <w:t>不符合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ind w:left="12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高功率的设备与电路容量相匹配，仪器设备接地良好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10.1.3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仪器设备使用完后，及时关闭电源，包括电脑显示器电源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10.1.4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有仪器设备运行、维护的记录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96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10.1.5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对于高温、高压、高速运动、电磁辐射等特殊设备，对使用 者有培训要求，有安全操作规程上墙，有安全警示标识和安 全警示线（黄色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，并配备相应安全防护设施（如防护罩、 防护栏、自屏蔽设施等</w:t>
            </w:r>
            <w:r>
              <w:rPr>
                <w:rStyle w:val="7"/>
                <w:lang w:val="en-US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10.1.6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对于超高速离心机，需要放置在离心室，在离心过程中，工 作人员保持合理安全距离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10.1.7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无电脑、空调、饮水机等随意开机过夜现象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10.1.8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对于不能断电的特殊仪器设备，采取了必要的防护措施（如 双路供电、不间断电源、监控报替等）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5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10.1.9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电子天平不放在阳光直射的地方，且用后及时清理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特种设备管理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10.2.1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锅炉、压力容器、起重机械、电梯等通过有资质单位检定， 证书在有效期内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10.2.2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操作人员需持证上岗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10.2.3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有定期检验维护的记录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冰箱管理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10.3.1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贮存危险化学品的冰箱为防爆冰箱或经过防爆改造的冰箱， 禁止使用无霜冰箱储存易燃易爆试剂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冰箱内存放的物品必须标识明确（包括品名、使用人、曰期 等），并经常清理，有清理记录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10.3.3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冰箱内储存试剂必须密封好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10.3.4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jc w:val="both"/>
            </w:pPr>
            <w:r>
              <w:rPr>
                <w:rStyle w:val="7"/>
              </w:rPr>
              <w:t>无冰箱超期服役现象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一般使用期限控制为</w:t>
            </w:r>
            <w:r>
              <w:rPr>
                <w:rStyle w:val="6"/>
                <w:lang w:val="zh-TW"/>
              </w:rPr>
              <w:t>10</w:t>
            </w:r>
            <w:r>
              <w:rPr>
                <w:rStyle w:val="7"/>
              </w:rPr>
              <w:t>年）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10.3.5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不在冰箱周围堆放杂物，影响散热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10.3.6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实验室冰箱中不放置食品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烘箱与电阻炉管理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10.4.1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jc w:val="center"/>
            </w:pPr>
            <w:r>
              <w:rPr>
                <w:rStyle w:val="7"/>
              </w:rPr>
              <w:t>烘箱、电阻炉无超期服役现象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一般使用期限控制为</w:t>
            </w:r>
            <w:r>
              <w:rPr>
                <w:rStyle w:val="6"/>
                <w:lang w:val="zh-TW"/>
              </w:rPr>
              <w:t>12</w:t>
            </w:r>
            <w:r>
              <w:rPr>
                <w:rStyle w:val="7"/>
              </w:rPr>
              <w:t>年）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不使用有故障、破损的烘箱、电阻炉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10.4.3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38" w:lineRule="exact"/>
              <w:jc w:val="both"/>
            </w:pPr>
            <w:r>
              <w:rPr>
                <w:rStyle w:val="7"/>
              </w:rPr>
              <w:t>不在烘箱等加热设备内烘烤易燃易爆化学试剂、塑料等易燃 物品、不使用塑料筐盛放实验物品在烘箱等加热设备内烘烤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10.4.4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烘箱、电阻炉等附近不存放气体钢瓶、易燃易爆化学品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10.4.5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烘箱、电阻炉等加热设备周围要有一定的散热空间，不存在 堆放杂物，影响散热的现象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10.4.6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jc w:val="center"/>
            </w:pPr>
            <w:r>
              <w:rPr>
                <w:rStyle w:val="7"/>
              </w:rPr>
              <w:t>使用烘箱、电阻炉等加热设备时有人值守（或</w:t>
            </w:r>
            <w:r>
              <w:rPr>
                <w:rStyle w:val="6"/>
              </w:rPr>
              <w:t>10-15</w:t>
            </w:r>
            <w:r>
              <w:rPr>
                <w:rStyle w:val="7"/>
              </w:rPr>
              <w:t>分钟检</w:t>
            </w:r>
          </w:p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查一次</w:t>
            </w:r>
            <w:r>
              <w:rPr>
                <w:rStyle w:val="7"/>
                <w:lang w:val="en-US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10.4.7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无烘箱位置放置过低、影响物品取用的现象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10.4.8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烘箱、电阻炉等不直接放置在木桌、木板等易燃物品上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10.4.9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加热设备边上不能放置冰箱、气体钢瓶等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10.5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明火电炉与电吹风等管理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10.5.1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未经学校安全管理部门许可不使用明火电炉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0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10.5.2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有许可证使用明火电炉的，其使用位置周围无易燃物品，并 配备了灭火器、砂桶等灭火设施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10.5.3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不使用明火电炉加热易燃易爆溶剂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493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10.5.4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明火电炉、电吹风、电热枪、电烙铁等用毕，及时拔除电源 插头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  <w:lang w:val="zh-TW"/>
              </w:rPr>
              <w:t>11</w:t>
            </w:r>
          </w:p>
        </w:tc>
        <w:tc>
          <w:tcPr>
            <w:tcW w:w="814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个人防护与其它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52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11.1</w:t>
            </w:r>
          </w:p>
        </w:tc>
        <w:tc>
          <w:tcPr>
            <w:tcW w:w="814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正确选用防护用品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248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11.1.1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凡进入实验室人员需穿长袖实验服或防护服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23" w:type="dxa"/>
          <w:trHeight w:val="504" w:hRule="exac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160"/>
            </w:pPr>
            <w:r>
              <w:rPr>
                <w:rStyle w:val="6"/>
              </w:rPr>
              <w:t>11.1.2</w:t>
            </w:r>
          </w:p>
        </w:tc>
        <w:tc>
          <w:tcPr>
            <w:tcW w:w="5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按需要佩戴防护眼镜（如进行化学实验、有危险的机械操作 等）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pPr/>
        <w:tblOverlap w:val="never"/>
        <w:tblW w:w="891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3"/>
        <w:gridCol w:w="5602"/>
        <w:gridCol w:w="716"/>
        <w:gridCol w:w="900"/>
        <w:gridCol w:w="92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80"/>
            </w:pPr>
            <w:r>
              <w:rPr>
                <w:rStyle w:val="5"/>
              </w:rPr>
              <w:t>序号</w:t>
            </w:r>
          </w:p>
        </w:tc>
        <w:tc>
          <w:tcPr>
            <w:tcW w:w="56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检查项目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center"/>
            </w:pPr>
            <w:r>
              <w:rPr>
                <w:rStyle w:val="5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76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56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符合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</w:pPr>
            <w:r>
              <w:rPr>
                <w:rStyle w:val="5"/>
              </w:rPr>
              <w:t>不符合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ind w:left="140"/>
              <w:rPr>
                <w:rFonts w:hint="eastAsia" w:eastAsia="宋体"/>
                <w:lang w:eastAsia="zh-CN"/>
              </w:rPr>
            </w:pPr>
            <w:r>
              <w:rPr>
                <w:rStyle w:val="5"/>
                <w:rFonts w:hint="eastAsia" w:eastAsia="宋体"/>
                <w:lang w:val="en-US" w:eastAsia="zh-CN"/>
              </w:rPr>
              <w:t>不适用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11.1.3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涉及化学和高温实验时，不得佩戴隐形眼镜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11.1.4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特殊场所按需佩戴安全帽、防护帽，无长发散露在外的现象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11.1.5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按需要佩戴防护手套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涉及不同的有害化学物质、病原微生 物、高温和低温等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，并正确选择不同种类和材质的手套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11.1.6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在特殊的实验室配备和使用呼吸器或面罩</w:t>
            </w:r>
            <w:r>
              <w:rPr>
                <w:rStyle w:val="7"/>
                <w:lang w:val="en-US"/>
              </w:rPr>
              <w:t>（</w:t>
            </w:r>
            <w:r>
              <w:rPr>
                <w:rStyle w:val="7"/>
              </w:rPr>
              <w:t>如有挥发性毒 物、溅射危险等）</w:t>
            </w:r>
            <w:r>
              <w:rPr>
                <w:rStyle w:val="7"/>
                <w:lang w:val="en-US"/>
              </w:rPr>
              <w:t>，</w:t>
            </w:r>
            <w:r>
              <w:rPr>
                <w:rStyle w:val="7"/>
              </w:rPr>
              <w:t>并正确选择种类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11.1.7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防化服分散存放在安全场所，紧急情况下便于取用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90" w:lineRule="exact"/>
              <w:jc w:val="both"/>
            </w:pPr>
            <w:r>
              <w:rPr>
                <w:rStyle w:val="5"/>
              </w:rPr>
              <w:t>其它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11.2.1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1" w:lineRule="exact"/>
              <w:jc w:val="both"/>
            </w:pPr>
            <w:r>
              <w:rPr>
                <w:rStyle w:val="7"/>
              </w:rPr>
              <w:t>危险性实验（如高温、高压、高速运转等）时必须有两人在 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11.2.2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实验时不能脱岗，通宵实验须两人在场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11.2.3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不穿拖鞋、短裤进入实验室，不露脚趾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11.2.4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45" w:lineRule="exact"/>
              <w:jc w:val="both"/>
            </w:pPr>
            <w:r>
              <w:rPr>
                <w:rStyle w:val="7"/>
              </w:rPr>
              <w:t>非实验区（如电梯、办公室、休息室、会议室、餐厅等</w:t>
            </w:r>
            <w:r>
              <w:rPr>
                <w:rStyle w:val="7"/>
                <w:lang w:val="en-US"/>
              </w:rPr>
              <w:t>）</w:t>
            </w:r>
            <w:r>
              <w:rPr>
                <w:rStyle w:val="7"/>
              </w:rPr>
              <w:t>无 穿戴实验服、实验手套等现象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11.2.5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center"/>
            </w:pPr>
            <w:r>
              <w:rPr>
                <w:rStyle w:val="7"/>
              </w:rPr>
              <w:t>操作机床等旋转设备时，不穿戴长围巾、丝巾、领带等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11.2.6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手机、银行卡等不带入高磁场实验室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exac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200" w:lineRule="exact"/>
              <w:ind w:left="80"/>
            </w:pPr>
            <w:r>
              <w:rPr>
                <w:rStyle w:val="6"/>
              </w:rPr>
              <w:t>11.2.7</w:t>
            </w:r>
          </w:p>
        </w:tc>
        <w:tc>
          <w:tcPr>
            <w:tcW w:w="5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shd w:val="clear" w:color="auto" w:fill="auto"/>
              <w:spacing w:before="0" w:line="180" w:lineRule="exact"/>
              <w:jc w:val="both"/>
            </w:pPr>
            <w:r>
              <w:rPr>
                <w:rStyle w:val="7"/>
              </w:rPr>
              <w:t>有规范的实验记录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1" w:hRule="exact"/>
          <w:jc w:val="center"/>
        </w:trPr>
        <w:tc>
          <w:tcPr>
            <w:tcW w:w="8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r>
              <w:t>执行情况简况</w:t>
            </w:r>
          </w:p>
          <w:p>
            <w:pPr>
              <w:pStyle w:val="8"/>
              <w:shd w:val="clear" w:color="auto" w:fill="auto"/>
              <w:spacing w:line="200" w:lineRule="exact"/>
            </w:pPr>
            <w:r>
              <w:t>请对成功经验做法进行总结，对存在的重大隐患进行排查并提出整改办法等。（可自行增加篇幅</w:t>
            </w:r>
            <w:r>
              <w:rPr>
                <w:rStyle w:val="9"/>
              </w:rPr>
              <w:t>)</w:t>
            </w:r>
          </w:p>
          <w:p/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10"/>
        <w:keepNext/>
        <w:keepLines/>
        <w:shd w:val="clear" w:color="auto" w:fill="auto"/>
        <w:spacing w:before="0" w:after="369" w:line="280" w:lineRule="exact"/>
        <w:ind w:left="80"/>
        <w:rPr>
          <w:rFonts w:hint="eastAsia" w:eastAsia="宋体"/>
          <w:lang w:val="en-US" w:eastAsia="zh-CN"/>
        </w:rPr>
      </w:pPr>
      <w:bookmarkStart w:id="0" w:name="bookmark8"/>
      <w:r>
        <w:rPr>
          <w:rFonts w:hint="eastAsia" w:eastAsia="宋体"/>
          <w:lang w:val="en-US" w:eastAsia="zh-CN"/>
        </w:rPr>
        <w:t>注：请根据实际情况在：“符合”或“不符合”、“不适用”栏目中划“✔”</w:t>
      </w:r>
    </w:p>
    <w:p>
      <w:pPr>
        <w:pStyle w:val="10"/>
        <w:keepNext/>
        <w:keepLines/>
        <w:shd w:val="clear" w:color="auto" w:fill="auto"/>
        <w:spacing w:before="0" w:after="369" w:line="280" w:lineRule="exact"/>
        <w:ind w:left="8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填表人：               电话：                       邮箱：</w:t>
      </w:r>
    </w:p>
    <w:p>
      <w:pPr>
        <w:pStyle w:val="10"/>
        <w:keepNext/>
        <w:keepLines/>
        <w:shd w:val="clear" w:color="auto" w:fill="auto"/>
        <w:spacing w:before="0" w:after="369" w:line="280" w:lineRule="exact"/>
        <w:ind w:left="80"/>
      </w:pPr>
      <w:r>
        <w:t>审核（责任</w:t>
      </w:r>
      <w:r>
        <w:rPr>
          <w:lang w:val="en-US"/>
        </w:rPr>
        <w:t>）</w:t>
      </w:r>
      <w:r>
        <w:t>人（签字</w:t>
      </w:r>
      <w:r>
        <w:rPr>
          <w:lang w:val="en-US"/>
        </w:rPr>
        <w:t>)：</w:t>
      </w:r>
      <w:bookmarkEnd w:id="0"/>
    </w:p>
    <w:p>
      <w:pPr>
        <w:pStyle w:val="10"/>
        <w:keepNext/>
        <w:keepLines/>
        <w:shd w:val="clear" w:color="auto" w:fill="auto"/>
        <w:spacing w:before="0" w:after="0" w:line="300" w:lineRule="exact"/>
        <w:ind w:left="80"/>
        <w:rPr>
          <w:rFonts w:hint="eastAsia"/>
          <w:lang w:val="en-US" w:eastAsia="zh-CN"/>
        </w:rPr>
      </w:pPr>
      <w:bookmarkStart w:id="1" w:name="bookmark9"/>
      <w:r>
        <w:t>填表时间</w:t>
      </w:r>
      <w:r>
        <w:rPr>
          <w:rStyle w:val="11"/>
        </w:rPr>
        <w:t>:</w:t>
      </w:r>
      <w:bookmarkEnd w:id="1"/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bookmarkStart w:id="2" w:name="_GoBack"/>
      <w:bookmarkEnd w:id="2"/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rankRuehl">
    <w:altName w:val="Times New Roman"/>
    <w:panose1 w:val="020E0503060101010101"/>
    <w:charset w:val="B1"/>
    <w:family w:val="swiss"/>
    <w:pitch w:val="default"/>
    <w:sig w:usb0="00000000" w:usb1="00000000" w:usb2="00000000" w:usb3="00000000" w:csb0="0000002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B046E"/>
    <w:rsid w:val="003E2DE7"/>
    <w:rsid w:val="01ED2C2A"/>
    <w:rsid w:val="396B046E"/>
    <w:rsid w:val="626C01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Courier New" w:asciiTheme="minorHAnsi" w:hAnsiTheme="minorHAnsi" w:cstheme="minorBidi"/>
      <w:color w:val="000000"/>
      <w:sz w:val="24"/>
      <w:szCs w:val="24"/>
      <w:lang w:val="zh-TW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FFFFFF"/>
      <w:spacing w:before="60" w:line="544" w:lineRule="exact"/>
    </w:pPr>
    <w:rPr>
      <w:rFonts w:ascii="MingLiU" w:hAnsi="MingLiU" w:eastAsia="MingLiU" w:cs="MingLiU"/>
      <w:spacing w:val="30"/>
      <w:sz w:val="27"/>
      <w:szCs w:val="27"/>
      <w:u w:val="none"/>
    </w:rPr>
  </w:style>
  <w:style w:type="character" w:customStyle="1" w:styleId="5">
    <w:name w:val="正文文本 + 9.5 pt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6">
    <w:name w:val="正文文本 + Garamond"/>
    <w:qFormat/>
    <w:uiPriority w:val="0"/>
    <w:rPr>
      <w:rFonts w:ascii="Garamond" w:hAnsi="Garamond" w:eastAsia="Garamond" w:cs="Garamond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7">
    <w:name w:val="正文文本 + 9 pt"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18"/>
      <w:szCs w:val="18"/>
      <w:u w:val="none"/>
      <w:lang w:val="zh-TW"/>
    </w:rPr>
  </w:style>
  <w:style w:type="paragraph" w:customStyle="1" w:styleId="8">
    <w:name w:val="表格标题"/>
    <w:basedOn w:val="1"/>
    <w:qFormat/>
    <w:uiPriority w:val="0"/>
    <w:pPr>
      <w:widowControl w:val="0"/>
      <w:shd w:val="clear" w:color="auto" w:fill="FFFFFF"/>
      <w:spacing w:line="0" w:lineRule="atLeast"/>
    </w:pPr>
    <w:rPr>
      <w:rFonts w:ascii="MingLiU" w:hAnsi="MingLiU" w:eastAsia="MingLiU" w:cs="MingLiU"/>
      <w:spacing w:val="10"/>
      <w:sz w:val="18"/>
      <w:szCs w:val="18"/>
      <w:u w:val="none"/>
    </w:rPr>
  </w:style>
  <w:style w:type="character" w:customStyle="1" w:styleId="9">
    <w:name w:val="表格标题 + Garamond"/>
    <w:uiPriority w:val="0"/>
    <w:rPr>
      <w:rFonts w:ascii="Garamond" w:hAnsi="Garamond" w:eastAsia="Garamond" w:cs="Garamond"/>
      <w:b/>
      <w:bCs/>
      <w:color w:val="000000"/>
      <w:spacing w:val="10"/>
      <w:w w:val="100"/>
      <w:position w:val="0"/>
      <w:sz w:val="20"/>
      <w:szCs w:val="20"/>
      <w:u w:val="none"/>
    </w:rPr>
  </w:style>
  <w:style w:type="paragraph" w:customStyle="1" w:styleId="10">
    <w:name w:val="标题 #4"/>
    <w:basedOn w:val="1"/>
    <w:qFormat/>
    <w:uiPriority w:val="0"/>
    <w:pPr>
      <w:widowControl w:val="0"/>
      <w:shd w:val="clear" w:color="auto" w:fill="FFFFFF"/>
      <w:spacing w:before="180" w:after="420" w:line="0" w:lineRule="atLeast"/>
      <w:outlineLvl w:val="3"/>
    </w:pPr>
    <w:rPr>
      <w:rFonts w:ascii="MingLiU" w:hAnsi="MingLiU" w:eastAsia="MingLiU" w:cs="MingLiU"/>
      <w:spacing w:val="-10"/>
      <w:sz w:val="28"/>
      <w:szCs w:val="28"/>
      <w:u w:val="none"/>
    </w:rPr>
  </w:style>
  <w:style w:type="character" w:customStyle="1" w:styleId="11">
    <w:name w:val="标题 #4 + FrankRuehl"/>
    <w:uiPriority w:val="0"/>
    <w:rPr>
      <w:rFonts w:ascii="FrankRuehl" w:hAnsi="FrankRuehl" w:eastAsia="FrankRuehl" w:cs="FrankRuehl"/>
      <w:color w:val="000000"/>
      <w:spacing w:val="0"/>
      <w:w w:val="100"/>
      <w:position w:val="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2016-08-31T02:06:00Z</dcterms:created>
  <dc:creator>use</dc:creator>
  <cp:lastModifiedBy>use</cp:lastModifiedBy>
  <cp:lastPrinted>2016-08-31T02:09:00Z</cp:lastPrinted>
  <dcterms:modified xsi:type="dcterms:W3CDTF">2016-10-26T02:25:56Z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